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before="251" w:beforeLines="80"/>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大营镇党委副书记、镇长  李延彬</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2023年，在县委县政府的坚强领导下，深入学习贯彻党的二十大精神，全面贯彻落实党中央和省市县关于法治建设的重大决策部署，自觉运用法治思维和法治方式深化改革、推动发展、化解矛盾维护稳定。坚持“四个亲自”，对法治建设重要工作亲自部署、重大问题亲自过问、重点环节亲自协调、重要任务亲自督办，圆满完成全年法治建设各项工作任务，在全镇形成依法治镇的新格局。现将一年来履行法治建设第一责任人的情况报告如下：</w:t>
      </w:r>
    </w:p>
    <w:p>
      <w:pPr>
        <w:numPr>
          <w:ilvl w:val="0"/>
          <w:numId w:val="1"/>
        </w:numPr>
        <w:ind w:left="-10" w:leftChars="0" w:firstLine="640" w:firstLineChars="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（一）加强组织领导，完善体制机制。</w:t>
      </w:r>
      <w:r>
        <w:rPr>
          <w:rFonts w:hint="eastAsia" w:ascii="仿宋_GB2312" w:hAnsi="仿宋_GB2312" w:eastAsia="仿宋_GB2312" w:cs="仿宋_GB2312"/>
          <w:sz w:val="32"/>
          <w:szCs w:val="32"/>
          <w:lang w:val="en-US" w:eastAsia="zh-CN"/>
        </w:rPr>
        <w:t>不断强化镇政府的主角定位，始终将法治建设主体责任扛在肩上、抓在手上，落实到行动上。成立了以我为组长，派出所、司法所、自然资源所、财政所、民政所等相关部门负责人为成员的法治政府建设工作领导小组，</w:t>
      </w:r>
      <w:r>
        <w:rPr>
          <w:rFonts w:hint="eastAsia" w:ascii="仿宋_GB2312" w:hAnsi="仿宋_GB2312" w:eastAsia="仿宋_GB2312" w:cs="仿宋_GB2312"/>
          <w:sz w:val="32"/>
          <w:szCs w:val="32"/>
        </w:rPr>
        <w:t>主持制定</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法治政府工作小组的工作规划和年度计划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对法治政府建设的有关重大问题第一时间召开会议进行研究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为推进法治建设提供了保障和条件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进一步提升了镇政府主要领导作为法治建设第一责任人的职责。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（二）深化政务公开，实现权力阳光运行。</w:t>
      </w:r>
      <w:r>
        <w:rPr>
          <w:rFonts w:hint="eastAsia" w:ascii="仿宋_GB2312" w:hAnsi="仿宋_GB2312" w:eastAsia="仿宋_GB2312" w:cs="仿宋_GB2312"/>
          <w:sz w:val="32"/>
          <w:szCs w:val="32"/>
          <w:lang w:val="en-US" w:eastAsia="zh-CN"/>
        </w:rPr>
        <w:t>全面推行政府决策、执行、管理、服务、结果“五公开”，全面提升基层政务公开和政务标准化规范化水平。认真落实“谁主管、谁审批、谁负责”的原则，建立健全信息采集、审核和发布机制。同时严格依照保守国家秘密法、信息公开条例以及其他法律法规和国家有关规定，确保发布的信息不涉及国家秘密、个人隐私的相关信息，法律法规规定不予公开的其他政府信息。按照政务公开要求，对我镇符合公开条件的政府文件全面依法公开，保障人民群众的知情权、参与权、监督权，促进依法行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（三）健全机制，推进决策科学化、民主化、法治化。</w:t>
      </w:r>
      <w:r>
        <w:rPr>
          <w:rFonts w:hint="eastAsia" w:ascii="仿宋_GB2312" w:hAnsi="仿宋_GB2312" w:eastAsia="仿宋_GB2312" w:cs="仿宋_GB2312"/>
          <w:sz w:val="32"/>
          <w:szCs w:val="32"/>
          <w:lang w:val="en-US" w:eastAsia="zh-CN"/>
        </w:rPr>
        <w:t>完善行政监督体制，强化对行政权力的制约，我和镇政府班子成员</w:t>
      </w:r>
      <w:r>
        <w:rPr>
          <w:rFonts w:hint="eastAsia" w:ascii="仿宋_GB2312" w:hAnsi="仿宋_GB2312" w:eastAsia="仿宋_GB2312" w:cs="仿宋_GB2312"/>
          <w:sz w:val="32"/>
          <w:szCs w:val="32"/>
        </w:rPr>
        <w:t>严格执行行政决策程序规定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发动公众参与、开展风险评估和进行合法性审查以及坚持集体讨论制度。</w:t>
      </w:r>
      <w:r>
        <w:rPr>
          <w:rFonts w:hint="eastAsia" w:ascii="仿宋_GB2312" w:hAnsi="仿宋_GB2312" w:eastAsia="仿宋_GB2312" w:cs="仿宋_GB2312"/>
          <w:sz w:val="32"/>
          <w:szCs w:val="32"/>
          <w:lang w:val="en-US" w:eastAsia="zh-CN"/>
        </w:rPr>
        <w:t>充分发挥落实好法律顾问制和镇人大代表监督权，</w:t>
      </w:r>
      <w:r>
        <w:rPr>
          <w:rFonts w:hint="eastAsia" w:ascii="仿宋_GB2312" w:hAnsi="仿宋_GB2312" w:eastAsia="仿宋_GB2312" w:cs="仿宋_GB2312"/>
          <w:sz w:val="32"/>
          <w:szCs w:val="32"/>
        </w:rPr>
        <w:t>健全法律顾问队伍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充分听取法律顾问意见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合理规避风险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做到依法决策、民主决策、科学决策。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（四）依法化解社会矛盾，切实履行信访职责。</w:t>
      </w:r>
      <w:r>
        <w:rPr>
          <w:rFonts w:hint="eastAsia" w:ascii="仿宋_GB2312" w:hAnsi="仿宋_GB2312" w:eastAsia="仿宋_GB2312" w:cs="仿宋_GB2312"/>
          <w:sz w:val="32"/>
          <w:szCs w:val="32"/>
          <w:lang w:val="en-US" w:eastAsia="zh-CN"/>
        </w:rPr>
        <w:t>畅通渠道，严格落实信访干部坐班接待制度、重要节假日领导班子下村接访制度，建设成上访“小事不出组，大事不出村，矛盾不上交，就地化解”的良好格局，做到将矛盾化解在萌芽状态，努力实现矛盾基层化解。全年经我协调，共调处各类矛盾纠纷58起，其中疑难纠纷12起，调处成功55起，成功率达90%以上。未发生恶性刑事案件、群体性事件和赴省进京上访案件，未发生安全事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（五）开展法治宣传教育，营造人人懂法用法氛围。</w:t>
      </w:r>
      <w:r>
        <w:rPr>
          <w:rFonts w:hint="eastAsia" w:ascii="仿宋_GB2312" w:hAnsi="仿宋_GB2312" w:eastAsia="仿宋_GB2312" w:cs="仿宋_GB2312"/>
          <w:sz w:val="32"/>
          <w:szCs w:val="32"/>
          <w:lang w:val="en-US" w:eastAsia="zh-CN"/>
        </w:rPr>
        <w:t>一是开展个人自学和集体学习，通过年初制定学习计划，年中规范调整学习内容，以及年终考核学习笔记的方式，全面深入学习习近平新时代中国特色社会主义思想和以宪法为核心的中国特色社会主义法律体系，让全镇干部职工自觉尊崇宪法、学习宪法、遵守宪法、维护宪法、运用宪法。二是加大法治宣传力度，增强群众法治意识。通过积极开展内容丰富的法治培训、宣传活动，利用电子显示屏、标语、散发传单及举办培训班等形式，扎实推进了法律进机关、进村（社区）、进学校，使法治宣传教育深入到社会各个层面、各类人群。</w:t>
      </w:r>
      <w:r>
        <w:rPr>
          <w:rFonts w:hint="eastAsia" w:ascii="仿宋_GB2312" w:hAnsi="仿宋_GB2312" w:eastAsia="仿宋_GB2312" w:cs="仿宋_GB2312"/>
          <w:sz w:val="32"/>
          <w:szCs w:val="32"/>
        </w:rPr>
        <w:t>保证每月有一次主题法治宣传活动与相关工作结合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切实做好法治宣传教育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全年共举办各类法律培训班10余次，张贴标语350余条，发放各类宣传资料25000余份。三是完善</w:t>
      </w:r>
      <w:r>
        <w:rPr>
          <w:rFonts w:hint="eastAsia" w:ascii="仿宋_GB2312" w:hAnsi="仿宋_GB2312" w:eastAsia="仿宋_GB2312" w:cs="仿宋_GB2312"/>
          <w:sz w:val="32"/>
          <w:szCs w:val="32"/>
        </w:rPr>
        <w:t>基层治理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建设“三治”融合体系。建设</w:t>
      </w:r>
      <w:r>
        <w:rPr>
          <w:rFonts w:hint="eastAsia" w:ascii="仿宋_GB2312" w:hAnsi="仿宋_GB2312" w:eastAsia="仿宋_GB2312" w:cs="仿宋_GB2312"/>
          <w:sz w:val="32"/>
          <w:szCs w:val="32"/>
        </w:rPr>
        <w:t>法治德治自治相融合的基层治理体制</w:t>
      </w:r>
      <w:r>
        <w:rPr>
          <w:rFonts w:hint="eastAsia" w:ascii="仿宋_GB2312" w:hAnsi="仿宋_GB2312" w:eastAsia="仿宋_GB2312" w:cs="仿宋_GB2312"/>
          <w:sz w:val="32"/>
          <w:szCs w:val="32"/>
          <w:lang w:val="en-US" w:eastAsia="zh-CN"/>
        </w:rPr>
        <w:t>体系，</w:t>
      </w:r>
      <w:r>
        <w:rPr>
          <w:rFonts w:hint="eastAsia" w:ascii="仿宋_GB2312" w:hAnsi="仿宋_GB2312" w:eastAsia="仿宋_GB2312" w:cs="仿宋_GB2312"/>
          <w:sz w:val="32"/>
          <w:szCs w:val="32"/>
        </w:rPr>
        <w:t>引导各村制定推行村规民约的共建共享治理良序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建立了动态管理、跟进问效、全域覆盖基层法治示范创建长效机制。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我镇依法行政工作虽然取得一些成绩，但与法治建设的要求相比还存在一定差距。主要是：一是依法行政、政务公开工作开展还没有完全到位，领导干部和干部职工依法行政意识还需要进一步加强；二是需要</w:t>
      </w:r>
      <w:r>
        <w:rPr>
          <w:rFonts w:hint="eastAsia" w:ascii="仿宋" w:hAnsi="仿宋" w:eastAsia="仿宋" w:cs="仿宋"/>
          <w:sz w:val="32"/>
          <w:szCs w:val="40"/>
          <w:lang w:val="en-US" w:eastAsia="zh-CN"/>
        </w:rPr>
        <w:t>大力提升执法人员业务能力，</w:t>
      </w:r>
      <w:r>
        <w:rPr>
          <w:rFonts w:hint="eastAsia" w:ascii="仿宋" w:hAnsi="仿宋" w:eastAsia="仿宋" w:cs="仿宋"/>
          <w:color w:val="auto"/>
          <w:sz w:val="32"/>
          <w:szCs w:val="40"/>
          <w:lang w:val="en-US" w:eastAsia="zh-CN"/>
        </w:rPr>
        <w:t>深入推进服务型行政执法</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三、下一步打算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下一步，我将继续深入推进法治政府建设，切实提高依法治镇的水平和实效，全面推进政府法治工作各项任务全面落实。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（一）加大法治宣传和教育力度。</w:t>
      </w:r>
      <w:r>
        <w:rPr>
          <w:rFonts w:hint="eastAsia" w:ascii="仿宋_GB2312" w:hAnsi="仿宋_GB2312" w:eastAsia="仿宋_GB2312" w:cs="仿宋_GB2312"/>
          <w:sz w:val="32"/>
          <w:szCs w:val="32"/>
          <w:lang w:val="en-US" w:eastAsia="zh-CN"/>
        </w:rPr>
        <w:t>提高广大干部群众对依法行政认识，支持并参与到依法行政中来，同时通过树立先进典型，发挥示范引领作用，传递法治建设正能量，不断推动我镇各项事业全面发展。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（二）深化社会稳定和信访工作。加</w:t>
      </w:r>
      <w:r>
        <w:rPr>
          <w:rFonts w:hint="eastAsia" w:ascii="仿宋_GB2312" w:hAnsi="仿宋_GB2312" w:eastAsia="仿宋_GB2312" w:cs="仿宋_GB2312"/>
          <w:sz w:val="32"/>
          <w:szCs w:val="32"/>
          <w:lang w:val="en-US" w:eastAsia="zh-CN"/>
        </w:rPr>
        <w:t>强阳光信访，严格落实信访案件依法终结制度，完善信访化解工作，选优选强信访矛盾处理人员，将问题化解在萌芽，将矛盾稳控在基层。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（三）持续推进“民主法治示范村”建设。</w:t>
      </w:r>
      <w:r>
        <w:rPr>
          <w:rFonts w:hint="eastAsia" w:ascii="仿宋_GB2312" w:hAnsi="仿宋_GB2312" w:eastAsia="仿宋_GB2312" w:cs="仿宋_GB2312"/>
          <w:sz w:val="32"/>
          <w:szCs w:val="32"/>
          <w:lang w:val="en-US" w:eastAsia="zh-CN"/>
        </w:rPr>
        <w:t>积极开展“民主法治示范村”的建设，通过印发宣传手册、开展政策宣讲辅导活动等方式，切实加强农村法治建设，积极创新普法理念、工作机制和方式方法。通过民主法治示范村建设提高法制普及率，规范村（社区）权力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（四）继续抓好法律知识的普及。</w:t>
      </w:r>
      <w:r>
        <w:rPr>
          <w:rFonts w:hint="eastAsia" w:ascii="仿宋_GB2312" w:hAnsi="仿宋_GB2312" w:eastAsia="仿宋_GB2312" w:cs="仿宋_GB2312"/>
          <w:sz w:val="32"/>
          <w:szCs w:val="32"/>
          <w:lang w:val="en-US" w:eastAsia="zh-CN"/>
        </w:rPr>
        <w:t>积极发挥年轻干部接受力强、工作干劲足的优势，组建法制宣传队，领导全镇的普法宣传工作。利用每周四各类大排查的时间，到群众家中、到商户中，为群众答疑解惑，确保我镇法治宣传教育落到实处。</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bCs/>
          <w:sz w:val="32"/>
          <w:szCs w:val="32"/>
          <w:lang w:val="en-US" w:eastAsia="zh-CN"/>
        </w:rPr>
      </w:pPr>
    </w:p>
    <w:sectPr>
      <w:footerReference r:id="rId3" w:type="default"/>
      <w:pgSz w:w="11906" w:h="16838"/>
      <w:pgMar w:top="1814" w:right="1474" w:bottom="181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B47590-4F45-4A71-9B94-2D72C86E76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embedRegular r:id="rId2" w:fontKey="{9DE51735-F97E-4175-B9FB-6C03DC5736E2}"/>
  </w:font>
  <w:font w:name="仿宋_GB2312">
    <w:panose1 w:val="02010609030101010101"/>
    <w:charset w:val="86"/>
    <w:family w:val="auto"/>
    <w:pitch w:val="default"/>
    <w:sig w:usb0="00000001" w:usb1="080E0000" w:usb2="00000000" w:usb3="00000000" w:csb0="00040000" w:csb1="00000000"/>
    <w:embedRegular r:id="rId3" w:fontKey="{4E217DB2-D745-4B66-B07C-7DD7CC9C4360}"/>
  </w:font>
  <w:font w:name="仿宋">
    <w:panose1 w:val="02010609060101010101"/>
    <w:charset w:val="86"/>
    <w:family w:val="auto"/>
    <w:pitch w:val="default"/>
    <w:sig w:usb0="800002BF" w:usb1="38CF7CFA" w:usb2="00000016" w:usb3="00000000" w:csb0="00040001" w:csb1="00000000"/>
    <w:embedRegular r:id="rId4" w:fontKey="{B5C2F4B7-64D9-4CAA-82B6-614135D2ECE6}"/>
  </w:font>
  <w:font w:name="方正小标宋简体">
    <w:panose1 w:val="02000000000000000000"/>
    <w:charset w:val="86"/>
    <w:family w:val="auto"/>
    <w:pitch w:val="default"/>
    <w:sig w:usb0="A00002BF" w:usb1="184F6CFA" w:usb2="00000012" w:usb3="00000000" w:csb0="00040001" w:csb1="00000000"/>
    <w:embedRegular r:id="rId5" w:fontKey="{A0DDBA71-5539-4357-8724-8BBEC6A6D6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-76200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6pt;height:144pt;width:144pt;mso-position-horizontal:outside;mso-position-horizontal-relative:margin;mso-wrap-style:none;z-index:251659264;mso-width-relative:page;mso-height-relative:page;" filled="f" stroked="f" coordsize="21600,21600" o:gfxdata="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bOF0U1AAAAAgBAAAPAAAAAAAAAAEAIAAAACIAAABkcnMvZG93bnJldi54bWxQSwEC&#10;FAAUAAAACACHTuJAa4X5+zECAABhBAAADgAAAAAAAAABACAAAAAjAQAAZHJzL2Uyb0RvYy54bWxQ&#10;SwUGAAAAAAYABgBZAQAAxgU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39625F"/>
    <w:multiLevelType w:val="singleLevel"/>
    <w:tmpl w:val="1B39625F"/>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26C0B34"/>
    <w:rsid w:val="113772B5"/>
    <w:rsid w:val="1C8125BD"/>
    <w:rsid w:val="1CFB7298"/>
    <w:rsid w:val="243011CC"/>
    <w:rsid w:val="3A401240"/>
    <w:rsid w:val="3EAB0813"/>
    <w:rsid w:val="3FFAB94F"/>
    <w:rsid w:val="42F7368E"/>
    <w:rsid w:val="5BF815D8"/>
    <w:rsid w:val="60E03D35"/>
    <w:rsid w:val="6DA051E9"/>
    <w:rsid w:val="6FFF7CDB"/>
    <w:rsid w:val="70003AAC"/>
    <w:rsid w:val="76DE2A0B"/>
    <w:rsid w:val="7BCD1505"/>
    <w:rsid w:val="BB6FAD91"/>
    <w:rsid w:val="D75B7976"/>
    <w:rsid w:val="D7EA1E0D"/>
    <w:rsid w:val="DEAC90EC"/>
    <w:rsid w:val="EFBE0D1A"/>
    <w:rsid w:val="F97CCD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大海</cp:lastModifiedBy>
  <dcterms:modified xsi:type="dcterms:W3CDTF">2024-02-21T02:27:30Z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88123DCC7F1145C4AE1BA0C565A27EEB_13</vt:lpwstr>
  </property>
</Properties>
</file>